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98A2F" w14:textId="77777777" w:rsidR="0061167F" w:rsidRDefault="0061167F" w:rsidP="0061167F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7180D49" w14:textId="77777777" w:rsidR="00447A02" w:rsidRDefault="00447A02" w:rsidP="0061167F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5F00B5E" w14:textId="77777777" w:rsidR="0025761C" w:rsidRDefault="0025761C" w:rsidP="0061167F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FAE0817" w14:textId="77777777" w:rsidR="0025761C" w:rsidRDefault="0025761C" w:rsidP="0061167F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0582472" w14:textId="77777777" w:rsidR="0025761C" w:rsidRPr="00C23397" w:rsidRDefault="0025761C" w:rsidP="0025761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707AF889" w14:textId="77777777" w:rsidR="0025761C" w:rsidRDefault="0025761C" w:rsidP="0025761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389D98C8" w14:textId="77777777" w:rsidR="0025761C" w:rsidRPr="00860A5B" w:rsidRDefault="0025761C" w:rsidP="0025761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10FAF19F" w14:textId="6787EA59" w:rsidR="0025761C" w:rsidRDefault="0025761C" w:rsidP="0025761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.  </w:t>
      </w:r>
    </w:p>
    <w:p w14:paraId="1F8EFABE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4B360372" w14:textId="77777777" w:rsidR="00E11EBE" w:rsidRPr="003E757B" w:rsidRDefault="004E6E0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3E757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Finanse i </w:t>
      </w:r>
      <w:r w:rsidR="00EB7A3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</w:t>
      </w:r>
      <w:r w:rsidRPr="003E757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arządzanie </w:t>
      </w:r>
      <w:r w:rsidR="00EB7A3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f</w:t>
      </w:r>
      <w:r w:rsidRPr="003E757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inansami</w:t>
      </w:r>
    </w:p>
    <w:p w14:paraId="722EFDA2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0FC52C29" w14:textId="77777777" w:rsidR="003E757B" w:rsidRPr="0047045D" w:rsidRDefault="003E757B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4F92FA33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A3BE18F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0648FB6D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38E23B39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5A06BD24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3BB2B6AD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5495547D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7FD710B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8A8CCA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EC0789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38DF02CF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E7BA3D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4848D3AE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2CEDA7F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45225FF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E886AFF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627D9DCA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81B3078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161F1628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1A1B69A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3E7030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006B9ED4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BB8CD8F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02EC371A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5216D3FA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50CF027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309DCD72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30DF55D2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6489CA9A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3B0AA3CE" w14:textId="77777777" w:rsidR="00E11EBE" w:rsidRPr="009B22C5" w:rsidRDefault="004E6E0A" w:rsidP="008A2B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B22C5">
              <w:rPr>
                <w:rFonts w:ascii="Times New Roman" w:hAnsi="Times New Roman" w:cs="Times New Roman"/>
                <w:b/>
                <w:sz w:val="18"/>
                <w:szCs w:val="18"/>
              </w:rPr>
              <w:t>5.1. Zarządzanie finansami jednostek gospodarczych</w:t>
            </w:r>
          </w:p>
          <w:p w14:paraId="223AFAFE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t xml:space="preserve">5.1.1.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Kapitały (fundusze) własne jednostek gospodarczych.</w:t>
            </w:r>
          </w:p>
          <w:p w14:paraId="4BBBB4FE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5.1.2. Rozliczenia pieniężne gotówkowe i bezgotówkowe, w tym w walutach obcych.</w:t>
            </w:r>
          </w:p>
          <w:p w14:paraId="7B1B627D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5.1.3. Zasilanie finansowe, analiza i prognozowanie przepływów pieniężnych.</w:t>
            </w:r>
          </w:p>
          <w:p w14:paraId="649E5D07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5.1.4. Wycena przepływów pieniężnych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A63CD0E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5.1.5.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lanowanie nakładów kapitałowych, </w:t>
            </w:r>
          </w:p>
          <w:p w14:paraId="51BE610F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analiza i ocena projektu inwestycyjnego, decyzje inwestycyjne w warunkach ryzyka i niepewności.</w:t>
            </w:r>
          </w:p>
          <w:p w14:paraId="0F9E6786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5.1.6. Długoterminowe decyzje finansowe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AF648CF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5.1.7. Krótkoterminowe decyzje finansowe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55411D3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5.1.8. Planowanie finansowe: prognozy, zakres, modele.</w:t>
            </w:r>
          </w:p>
          <w:p w14:paraId="653CC9AE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5.1.9. Zarządzanie ryzykiem w gospoda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rce finansowej przedsiębiorstwa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81205FB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5.1.10 Postępowanie restrukturyzacyjne oraz upadłościowe – aspekty finansowe.</w:t>
            </w:r>
          </w:p>
          <w:p w14:paraId="167C4BFF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7C38FF" w14:textId="77777777" w:rsid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5.2 Wycena przedsiębiorstw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6DA373CA" w14:textId="77777777" w:rsidR="009B22C5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5.2.1. Wycena przed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siębiorstw metodami majątkowymi.</w:t>
            </w:r>
          </w:p>
          <w:p w14:paraId="329DEE77" w14:textId="77777777" w:rsidR="009B22C5" w:rsidRPr="00D57E17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5.2.2. Wycena przedsiębiors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tw metodami dochodowymi.</w:t>
            </w:r>
          </w:p>
          <w:p w14:paraId="6FD21C3A" w14:textId="77777777" w:rsidR="009B22C5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5.2.3. Wycena prze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dsiębiorstw metodami mieszanymi.</w:t>
            </w:r>
          </w:p>
          <w:p w14:paraId="6A91C478" w14:textId="77777777" w:rsidR="009B22C5" w:rsidRPr="00D57E17" w:rsidRDefault="009B22C5" w:rsidP="009B2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5.2.4. Wycena przedsiębiorstw innymi metodami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52B22E8" w14:textId="77777777" w:rsid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2E70D07" w14:textId="77777777" w:rsidR="004E6E0A" w:rsidRP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5.3. Finanse publiczne</w:t>
            </w:r>
          </w:p>
          <w:p w14:paraId="44EB8B00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.3.1. Środki publiczne, nadwyżka i deficyt sektora finansów publicznych.</w:t>
            </w:r>
          </w:p>
          <w:p w14:paraId="1B406774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5.3.2. Jednostki zaliczane do sektora finansów publicznych.</w:t>
            </w:r>
          </w:p>
          <w:p w14:paraId="10CD8890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5.3.3. Ogólne zasady gospodarki finansowej jednoste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k sektora finansów publicznych.</w:t>
            </w:r>
          </w:p>
          <w:p w14:paraId="37FCB15D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5.3.4. System finansowy jednostek budżetowych, samorządowych zakładów budżetowych,</w:t>
            </w:r>
          </w:p>
          <w:p w14:paraId="742D0756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państwowych funduszy celowych, agencji wykonawczych i instytucji gospodarki budżetowej.</w:t>
            </w:r>
          </w:p>
          <w:p w14:paraId="7E7F642D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5.3.5. Budżet państwa i budżety jed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nostek samorządu terytorialnego.</w:t>
            </w:r>
          </w:p>
          <w:p w14:paraId="78330EF3" w14:textId="77777777" w:rsidR="004E6E0A" w:rsidRPr="00D57E17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5.3.6. System finansowego wspomagania gospodarki środkami z budżetu Unii Europejskiej.</w:t>
            </w:r>
          </w:p>
          <w:p w14:paraId="59D1832D" w14:textId="77777777" w:rsidR="004E6E0A" w:rsidRDefault="004E6E0A" w:rsidP="004E6E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5.3.7. System finansowania przedsięwzięć publiczno-prywatnych.</w:t>
            </w:r>
          </w:p>
          <w:p w14:paraId="55A23BC6" w14:textId="77777777" w:rsidR="004E6E0A" w:rsidRP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BDC0062" w14:textId="77777777" w:rsidR="004E6E0A" w:rsidRDefault="004E6E0A" w:rsidP="004E6E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5.4 Finanse banków i instytucji finansowych</w:t>
            </w:r>
          </w:p>
          <w:p w14:paraId="52078731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5.4.1. System bankowy </w:t>
            </w:r>
            <w:r w:rsidR="009B22C5" w:rsidRPr="00D57E17">
              <w:rPr>
                <w:rFonts w:ascii="Times New Roman" w:hAnsi="Times New Roman" w:cs="Times New Roman"/>
                <w:sz w:val="18"/>
                <w:szCs w:val="18"/>
              </w:rPr>
              <w:t>– bank centralny i jego funkcje, banki państwowe, banki w formie spółek akcyjnych, banki hipoteczne, banki zrzeszające, banki spółdzielcze, oddziały i przedstawicielstwa instytucji kredytowych oraz banków zagranicznych.</w:t>
            </w:r>
          </w:p>
          <w:p w14:paraId="05DA499B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5.4.2. Rola Banku Gospodarstwa Krajowego.</w:t>
            </w:r>
          </w:p>
          <w:p w14:paraId="22467AE1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5.4.3. Finansowe grupy kapitałowe, w tym międzynarodowe, konglomeraty finansowe oraz struktury holdingowe.</w:t>
            </w:r>
          </w:p>
          <w:p w14:paraId="04E4CCBA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5.4.4. Spółdzielcze kasy oszczędnościowo-kredytowe.</w:t>
            </w:r>
          </w:p>
          <w:p w14:paraId="588EBDE1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5.4.5. Inne instytucje finansowe.</w:t>
            </w:r>
          </w:p>
          <w:p w14:paraId="7717576C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5.4.6. Fundusze własne, ich kategorie i struktura oraz wewnętrzne relacje. Sposoby wnoszenia i zaliczania poszczególnych instrumentów do odpowiednich kategorii funduszy. Tworzenie, przeznaczenie, wykorzystanie, inne operacje i pozycje wpływające na poziom funduszy własnych poszczególnych rodzajów podmiotów.</w:t>
            </w:r>
          </w:p>
          <w:p w14:paraId="5581BFA5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5.4.7. Proces szacowania kapitału wewnętrznego oraz dokonywania przez banki jego przeglądów. </w:t>
            </w:r>
          </w:p>
          <w:p w14:paraId="6DA20F0E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5.4.8. Zakres i zasady wyznaczania wymogów kapitałowych, w tym zakres i warunki stosowania metod statystycznych.</w:t>
            </w:r>
          </w:p>
          <w:p w14:paraId="7D287E6C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5.4.9. Bufory kapitałowe – uwarunkowania stosowania, zasady kalkulacji, normy regulacyjne.</w:t>
            </w:r>
          </w:p>
          <w:p w14:paraId="1586FCA2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5.4.10. Domiar kapitałowy – definicja oraz zakres stosowania. Obowiązujące normy kapitałowe, poszczególne składowe, ich poziom oraz sposób obliczania, w tym zasady kalkulacji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6968F04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współczynnika wypłacalności.</w:t>
            </w:r>
          </w:p>
          <w:p w14:paraId="08F98730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5.4.11. System zarządzania ryzykiem banku oraz system kontroli wewnętrznej, jako elementy systemu zarządzania. </w:t>
            </w:r>
          </w:p>
          <w:p w14:paraId="67C4044B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5.4.12. Kategorie identyfikowanego ryzyka w działalności bankowej, wiążące normy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5E59280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ostrożnościowe, określające dopuszczalne ryzyko w działalności banku oraz zakres ich stosowania.</w:t>
            </w:r>
          </w:p>
          <w:p w14:paraId="33322FDD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5.4.13. Uwarunkowania procesu wyznaczania akceptowalnego poziomu ryzyka.</w:t>
            </w:r>
          </w:p>
          <w:p w14:paraId="2762F253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5.4.14. System identyfikacji, pomiaru, monitorowania i raportowania ryzyka w działalności banku oraz innych podmiotów finansowych działających na rynku regulowanym.</w:t>
            </w:r>
          </w:p>
          <w:p w14:paraId="19F7271B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5.4.15. Zarządzanie aktywami i pasywami, struktura finansowania oraz alokacja środków z uwzględnieniem uwarunkowań walutowych, terminowych, zmienności stóp procentowych oraz ryzyka kontrahenta.</w:t>
            </w:r>
          </w:p>
          <w:p w14:paraId="39A3FF31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5.4.16. Limity wewnętrzne, normy koncentracji oraz pozostałe normy regulacyjne.</w:t>
            </w:r>
          </w:p>
          <w:p w14:paraId="6381C01C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5.4.17. Rodzaje operacji i instrumentów bankowych realizowanych na rachunek własny, jak i oferowanych klientom, w tym prowadzenie rachunków bankowych, udzielanie kredytów i</w:t>
            </w:r>
            <w:r w:rsidR="009B2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pożyczek, gwarancji bankowych, poręczeń i akredytyw, emisja bankowych papierów wartościowych, emisja listów zastawnych, rozliczenia pieniężne – wymagania regulacyjne.</w:t>
            </w:r>
          </w:p>
          <w:p w14:paraId="03B3CCB0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5.4.18. Uczestnictwo podmiotów finansowych w systemie bezpieczeństwa. System gwarancji depozytów – aspekty finansowe oraz obowiązki informacyjne.</w:t>
            </w:r>
          </w:p>
          <w:p w14:paraId="23C03F9A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5.4.19. System rekompensat – aspekty finansowe.</w:t>
            </w:r>
          </w:p>
          <w:p w14:paraId="2154AB3F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5.4.20. Zasady partycypacji w finansowaniu systemu nadzoru.</w:t>
            </w:r>
          </w:p>
          <w:p w14:paraId="483A617C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5.4.21. Procesy restrukturyzacji oraz uporządkowanej likwidacji podmiotu finansowego – założenia, możliwe scenariusze, wykorzystywane mechanizmy. </w:t>
            </w:r>
          </w:p>
          <w:p w14:paraId="02BAA479" w14:textId="77777777" w:rsidR="00E0395B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5.4.22. Odpowiedzialność oraz rola poszczególnych instytucji w procesach restrukturyzacji i uporządkowanej likwidacji.</w:t>
            </w:r>
          </w:p>
          <w:p w14:paraId="4D4461F1" w14:textId="77777777" w:rsidR="00E0395B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6E25EE" w14:textId="77777777" w:rsidR="00E0395B" w:rsidRPr="00E0395B" w:rsidRDefault="00E0395B" w:rsidP="00E039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395B">
              <w:rPr>
                <w:rFonts w:ascii="Times New Roman" w:hAnsi="Times New Roman" w:cs="Times New Roman"/>
                <w:b/>
                <w:sz w:val="18"/>
                <w:szCs w:val="18"/>
              </w:rPr>
              <w:t>5.5. Finanse zakładów ubezpieczeń i zakładów reasekuracji</w:t>
            </w:r>
          </w:p>
          <w:p w14:paraId="43B201F7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 System ubezpieczeń majątkowych i osobowych (formy organizacyjno-prawne prowadzenia działalności ubezpieczeniowej, istota i rodzaje ubezpieczeń).</w:t>
            </w:r>
          </w:p>
          <w:p w14:paraId="1F0226CA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5.5.2. Operacje w działalności ubezpieczeniowej.</w:t>
            </w:r>
          </w:p>
          <w:p w14:paraId="3096E6DB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5.5.3. Kapitał zakładowy oraz inne kapitały i fundusze specjalne zakładu ubezpieczeń i zakładu reasekuracji – tworzenie, przeznaczenie, wykorzystanie, inne operacje tymi kapitałami i funduszami.</w:t>
            </w:r>
          </w:p>
          <w:p w14:paraId="28232060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5.5.4. Zasady lokowania środków finansowych przez zakład ubezpieczeń i zakład reasekuracji.</w:t>
            </w:r>
          </w:p>
          <w:p w14:paraId="669DBAEB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5.5.5. Ryzyko w działalności zakładu ubezpieczeń i zakładu reasekuracji. System zarządzania ryzykiem. Własna ocena ryzyka i wypłacalności. </w:t>
            </w:r>
          </w:p>
          <w:p w14:paraId="4C18C47A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5.5.6. Reasekuracja i inne techniki przenoszenia ryzyka. System kontroli wewnętrznej. Funkcja audytu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wewnętrznego. Funkcja aktuarialna. Funkcja zgodności z przepisami. Funkcja zarządzania ryzykiem.</w:t>
            </w:r>
          </w:p>
          <w:p w14:paraId="6D3666DE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5.5.7. Wypłacalność zakładu ubezpieczeń i zakładu reasekuracji. Rezerwy techniczno- ubezpieczeniowe dla celów wypłacalności i dla celów rachunkowości. Środki własne zakładu ubezpieczeń i zakładu reasekuracji. Klasyfikacja pozycji środków własnych. Wymagany poziom środków własnych.</w:t>
            </w:r>
          </w:p>
          <w:p w14:paraId="5B1537BA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5.5.8. Relacje określonych ustawowo rodzajów i kategorii środków własnych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(podstawowe środki własne, uzupełniające środki własne, dopuszczone środki własne) do określonych ustawowo wymogów wypłacalności (kapitałowy wymóg wypłacalności, minimalny wymóg kapitałowy, nieprzekraczalny dolny próg minimalnego wymogu kapitałowego).</w:t>
            </w:r>
          </w:p>
          <w:p w14:paraId="5807B5C2" w14:textId="77777777" w:rsidR="00E0395B" w:rsidRPr="00D57E17" w:rsidRDefault="00E0395B" w:rsidP="00E03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5.5.9. Ubezpieczeniowy Fundusz Gwarancyjny – funkcje, zasady działania.</w:t>
            </w:r>
          </w:p>
          <w:p w14:paraId="3AD4AF7D" w14:textId="77777777" w:rsidR="004E6E0A" w:rsidRPr="004E6E0A" w:rsidRDefault="00E0395B" w:rsidP="00E0395B"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5.5.10. Inne instytucje rynku ubezpieczeniowego – aspekty finansowe.</w:t>
            </w:r>
          </w:p>
        </w:tc>
        <w:tc>
          <w:tcPr>
            <w:tcW w:w="3736" w:type="dxa"/>
          </w:tcPr>
          <w:p w14:paraId="0C5D2A5A" w14:textId="77777777" w:rsidR="00E11EBE" w:rsidRDefault="00E11EBE" w:rsidP="008A2B6A"/>
        </w:tc>
        <w:tc>
          <w:tcPr>
            <w:tcW w:w="3686" w:type="dxa"/>
          </w:tcPr>
          <w:p w14:paraId="6D2E6D4C" w14:textId="77777777" w:rsidR="00E11EBE" w:rsidRDefault="00E11EBE" w:rsidP="008A2B6A"/>
        </w:tc>
        <w:tc>
          <w:tcPr>
            <w:tcW w:w="3685" w:type="dxa"/>
          </w:tcPr>
          <w:p w14:paraId="2923FC10" w14:textId="77777777" w:rsidR="00E11EBE" w:rsidRDefault="00E11EBE" w:rsidP="008A2B6A"/>
        </w:tc>
      </w:tr>
    </w:tbl>
    <w:p w14:paraId="152E5927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E1EF387" w14:textId="77777777" w:rsidR="0098742F" w:rsidRDefault="0098742F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98742F" w:rsidSect="00986A72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01206" w14:textId="77777777" w:rsidR="000108A4" w:rsidRDefault="000108A4" w:rsidP="00E11EBE">
      <w:pPr>
        <w:spacing w:after="0" w:line="240" w:lineRule="auto"/>
      </w:pPr>
      <w:r>
        <w:separator/>
      </w:r>
    </w:p>
  </w:endnote>
  <w:endnote w:type="continuationSeparator" w:id="0">
    <w:p w14:paraId="42E13232" w14:textId="77777777" w:rsidR="000108A4" w:rsidRDefault="000108A4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24E63" w14:textId="77777777" w:rsidR="000108A4" w:rsidRDefault="000108A4" w:rsidP="00E11EBE">
      <w:pPr>
        <w:spacing w:after="0" w:line="240" w:lineRule="auto"/>
      </w:pPr>
      <w:r>
        <w:separator/>
      </w:r>
    </w:p>
  </w:footnote>
  <w:footnote w:type="continuationSeparator" w:id="0">
    <w:p w14:paraId="1D37242B" w14:textId="77777777" w:rsidR="000108A4" w:rsidRDefault="000108A4" w:rsidP="00E11EBE">
      <w:pPr>
        <w:spacing w:after="0" w:line="240" w:lineRule="auto"/>
      </w:pPr>
      <w:r>
        <w:continuationSeparator/>
      </w:r>
    </w:p>
  </w:footnote>
  <w:footnote w:id="1">
    <w:p w14:paraId="79C52BF2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1C33D51B" w14:textId="77777777" w:rsidR="00E11EBE" w:rsidRDefault="00E11EBE" w:rsidP="00E11EBE">
      <w:pPr>
        <w:pStyle w:val="Tekstprzypisudolnego"/>
      </w:pPr>
    </w:p>
  </w:footnote>
  <w:footnote w:id="2">
    <w:p w14:paraId="0B833FC2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108A4"/>
    <w:rsid w:val="00026EE8"/>
    <w:rsid w:val="000400F4"/>
    <w:rsid w:val="001108B5"/>
    <w:rsid w:val="0025761C"/>
    <w:rsid w:val="00382E9B"/>
    <w:rsid w:val="00392FB0"/>
    <w:rsid w:val="003D1492"/>
    <w:rsid w:val="003E757B"/>
    <w:rsid w:val="00447A02"/>
    <w:rsid w:val="004E6E0A"/>
    <w:rsid w:val="00501CD3"/>
    <w:rsid w:val="00562EC9"/>
    <w:rsid w:val="0061167F"/>
    <w:rsid w:val="008803F1"/>
    <w:rsid w:val="009063F8"/>
    <w:rsid w:val="00986A72"/>
    <w:rsid w:val="0098742F"/>
    <w:rsid w:val="009B22C5"/>
    <w:rsid w:val="009C5721"/>
    <w:rsid w:val="00AB2F8C"/>
    <w:rsid w:val="00B057E2"/>
    <w:rsid w:val="00B964A8"/>
    <w:rsid w:val="00CC3C98"/>
    <w:rsid w:val="00CD6811"/>
    <w:rsid w:val="00E0395B"/>
    <w:rsid w:val="00E11EBE"/>
    <w:rsid w:val="00E71DD2"/>
    <w:rsid w:val="00EA2990"/>
    <w:rsid w:val="00EB7A32"/>
    <w:rsid w:val="00EF7EEA"/>
    <w:rsid w:val="00F539FC"/>
    <w:rsid w:val="00F86726"/>
    <w:rsid w:val="00F8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47A2F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84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1045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4</cp:revision>
  <cp:lastPrinted>2022-08-04T12:22:00Z</cp:lastPrinted>
  <dcterms:created xsi:type="dcterms:W3CDTF">2026-03-11T13:39:00Z</dcterms:created>
  <dcterms:modified xsi:type="dcterms:W3CDTF">2026-03-12T07:19:00Z</dcterms:modified>
</cp:coreProperties>
</file>